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96BF6" w:rsidRDefault="000641DA">
      <w:pPr>
        <w:shd w:val="clear" w:color="auto" w:fill="FFFFFF"/>
        <w:spacing w:before="30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ILL.MA PREFETTURA DI</w:t>
      </w:r>
    </w:p>
    <w:p w14:paraId="00000002" w14:textId="77777777" w:rsidR="00996BF6" w:rsidRDefault="000641DA">
      <w:pPr>
        <w:shd w:val="clear" w:color="auto" w:fill="FFFFFF"/>
        <w:spacing w:before="3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RICORSO AVVERSO VERBALE D’ACCERTAMENTO E CONTESTAZIONE DI ILLECITO AMMINISTRATIVO D.L. 25 MARZO 2020 N. 19</w:t>
      </w:r>
    </w:p>
    <w:p w14:paraId="00000003" w14:textId="77777777" w:rsidR="00996BF6" w:rsidRDefault="000641DA">
      <w:pPr>
        <w:shd w:val="clear" w:color="auto" w:fill="FFFFFF"/>
        <w:spacing w:before="3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 *</w:t>
      </w:r>
    </w:p>
    <w:p w14:paraId="00000004"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Promosso dal </w:t>
      </w:r>
      <w:proofErr w:type="spellStart"/>
      <w:proofErr w:type="gramStart"/>
      <w:r>
        <w:rPr>
          <w:rFonts w:ascii="Times New Roman" w:eastAsia="Times New Roman" w:hAnsi="Times New Roman" w:cs="Times New Roman"/>
          <w:i/>
          <w:sz w:val="24"/>
          <w:szCs w:val="24"/>
        </w:rPr>
        <w:t>Sig</w:t>
      </w:r>
      <w:proofErr w:type="spellEnd"/>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nato a                 , il                        e residente in </w:t>
      </w:r>
    </w:p>
    <w:p w14:paraId="00000005" w14:textId="77777777" w:rsidR="00996BF6" w:rsidRDefault="000641DA">
      <w:pPr>
        <w:shd w:val="clear" w:color="auto" w:fill="FFFFFF"/>
        <w:spacing w:before="3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Premesso che</w:t>
      </w:r>
    </w:p>
    <w:p w14:paraId="00000006" w14:textId="22BBEBB2"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in data                        </w:t>
      </w:r>
      <w:bookmarkStart w:id="0" w:name="_GoBack"/>
      <w:bookmarkEnd w:id="0"/>
      <w:r>
        <w:rPr>
          <w:rFonts w:ascii="Times New Roman" w:eastAsia="Times New Roman" w:hAnsi="Times New Roman" w:cs="Times New Roman"/>
          <w:i/>
          <w:sz w:val="24"/>
          <w:szCs w:val="24"/>
        </w:rPr>
        <w:t xml:space="preserve">   l’esponente veniva sanzionato, poiché avrebbe omesso di rispettare il cosiddetto “coprifuoco” di cui al DPCM 2</w:t>
      </w:r>
      <w:r>
        <w:rPr>
          <w:rFonts w:ascii="Times New Roman" w:eastAsia="Times New Roman" w:hAnsi="Times New Roman" w:cs="Times New Roman"/>
          <w:i/>
          <w:sz w:val="24"/>
          <w:szCs w:val="24"/>
        </w:rPr>
        <w:t xml:space="preserve"> marzo</w:t>
      </w:r>
      <w:r>
        <w:rPr>
          <w:rFonts w:ascii="Times New Roman" w:eastAsia="Times New Roman" w:hAnsi="Times New Roman" w:cs="Times New Roman"/>
          <w:i/>
          <w:sz w:val="24"/>
          <w:szCs w:val="24"/>
        </w:rPr>
        <w:t xml:space="preserve"> 2021, così come richiamato dal DL 1 aprile 2021</w:t>
      </w:r>
      <w:r>
        <w:rPr>
          <w:rFonts w:ascii="Times New Roman" w:eastAsia="Times New Roman" w:hAnsi="Times New Roman" w:cs="Times New Roman"/>
          <w:i/>
          <w:sz w:val="24"/>
          <w:szCs w:val="24"/>
        </w:rPr>
        <w:t>;</w:t>
      </w:r>
    </w:p>
    <w:p w14:paraId="00000007"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Specificatamente la violazione contestata è quella di trovarsi fuori dalla propria abitazi</w:t>
      </w:r>
      <w:r>
        <w:rPr>
          <w:rFonts w:ascii="Times New Roman" w:eastAsia="Times New Roman" w:hAnsi="Times New Roman" w:cs="Times New Roman"/>
          <w:i/>
          <w:sz w:val="24"/>
          <w:szCs w:val="24"/>
        </w:rPr>
        <w:t>one dopo le 22:00, precisamente alle ore …………………………;</w:t>
      </w:r>
    </w:p>
    <w:p w14:paraId="00000008"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3) </w:t>
      </w:r>
      <w:r>
        <w:rPr>
          <w:rFonts w:ascii="Times New Roman" w:eastAsia="Times New Roman" w:hAnsi="Times New Roman" w:cs="Times New Roman"/>
          <w:b/>
          <w:i/>
          <w:sz w:val="24"/>
          <w:szCs w:val="24"/>
          <w:u w:val="single"/>
        </w:rPr>
        <w:t>La norma di cui al DPCM è un divieto che incide in maniera netta ed indiscutibile sulla libertà personale, determinandone una sua grave compressione. Esso è infatti paragonabile ad un obbligo di perma</w:t>
      </w:r>
      <w:r>
        <w:rPr>
          <w:rFonts w:ascii="Times New Roman" w:eastAsia="Times New Roman" w:hAnsi="Times New Roman" w:cs="Times New Roman"/>
          <w:b/>
          <w:i/>
          <w:sz w:val="24"/>
          <w:szCs w:val="24"/>
          <w:u w:val="single"/>
        </w:rPr>
        <w:t>nenza domiciliare</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ovvero a quella che normalmente viene comminata quale pena per un illecito;</w:t>
      </w:r>
    </w:p>
    <w:p w14:paraId="00000009"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 Risulta oltremodo pacifico che </w:t>
      </w:r>
      <w:r>
        <w:rPr>
          <w:rFonts w:ascii="Times New Roman" w:eastAsia="Times New Roman" w:hAnsi="Times New Roman" w:cs="Times New Roman"/>
          <w:b/>
          <w:i/>
          <w:sz w:val="24"/>
          <w:szCs w:val="24"/>
          <w:u w:val="single"/>
        </w:rPr>
        <w:t>l’art. 13 Cost. dichiara inviolabile la libertà personale e che gli eventuali limiti ad essa sono sottoposti alla doppia garanz</w:t>
      </w:r>
      <w:r>
        <w:rPr>
          <w:rFonts w:ascii="Times New Roman" w:eastAsia="Times New Roman" w:hAnsi="Times New Roman" w:cs="Times New Roman"/>
          <w:b/>
          <w:i/>
          <w:sz w:val="24"/>
          <w:szCs w:val="24"/>
          <w:u w:val="single"/>
        </w:rPr>
        <w:t>ia della riserva di legge e di giurisdizione, consistente nell’ordine motivato dell’autorità giudiziaria</w:t>
      </w:r>
      <w:r>
        <w:rPr>
          <w:rFonts w:ascii="Times New Roman" w:eastAsia="Times New Roman" w:hAnsi="Times New Roman" w:cs="Times New Roman"/>
          <w:i/>
          <w:sz w:val="24"/>
          <w:szCs w:val="24"/>
        </w:rPr>
        <w:t>;</w:t>
      </w:r>
    </w:p>
    <w:p w14:paraId="0000000A"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 Nel caso di specie dunque </w:t>
      </w:r>
      <w:r>
        <w:rPr>
          <w:rFonts w:ascii="Times New Roman" w:eastAsia="Times New Roman" w:hAnsi="Times New Roman" w:cs="Times New Roman"/>
          <w:b/>
          <w:i/>
          <w:sz w:val="24"/>
          <w:szCs w:val="24"/>
          <w:u w:val="single"/>
        </w:rPr>
        <w:t>il DPCM con cui si è imposto il divieto viola la Costituzione su entrambi gli aspetti e costituisce a tutti gli effetti u</w:t>
      </w:r>
      <w:r>
        <w:rPr>
          <w:rFonts w:ascii="Times New Roman" w:eastAsia="Times New Roman" w:hAnsi="Times New Roman" w:cs="Times New Roman"/>
          <w:b/>
          <w:i/>
          <w:sz w:val="24"/>
          <w:szCs w:val="24"/>
          <w:u w:val="single"/>
        </w:rPr>
        <w:t>n atto palesemente illecito</w:t>
      </w:r>
      <w:r>
        <w:rPr>
          <w:rFonts w:ascii="Times New Roman" w:eastAsia="Times New Roman" w:hAnsi="Times New Roman" w:cs="Times New Roman"/>
          <w:i/>
          <w:sz w:val="24"/>
          <w:szCs w:val="24"/>
        </w:rPr>
        <w:t xml:space="preserve">. Non solo. </w:t>
      </w:r>
      <w:r>
        <w:rPr>
          <w:rFonts w:ascii="Times New Roman" w:eastAsia="Times New Roman" w:hAnsi="Times New Roman" w:cs="Times New Roman"/>
          <w:b/>
          <w:i/>
          <w:sz w:val="24"/>
          <w:szCs w:val="24"/>
          <w:u w:val="single"/>
        </w:rPr>
        <w:t>Posto che la violazione della libertà personale è sanzionata penalmente ex art. 605 c.p., il DPCM 3.12.2020 stesso potrebbe essere oggetto dell’attenzione della Magistratura</w:t>
      </w:r>
      <w:r>
        <w:rPr>
          <w:rFonts w:ascii="Times New Roman" w:eastAsia="Times New Roman" w:hAnsi="Times New Roman" w:cs="Times New Roman"/>
          <w:i/>
          <w:sz w:val="24"/>
          <w:szCs w:val="24"/>
        </w:rPr>
        <w:t xml:space="preserve"> con apertura di un procedimento penale prop</w:t>
      </w:r>
      <w:r>
        <w:rPr>
          <w:rFonts w:ascii="Times New Roman" w:eastAsia="Times New Roman" w:hAnsi="Times New Roman" w:cs="Times New Roman"/>
          <w:i/>
          <w:sz w:val="24"/>
          <w:szCs w:val="24"/>
        </w:rPr>
        <w:t>rio nei confronti dei membri del Governo;</w:t>
      </w:r>
    </w:p>
    <w:p w14:paraId="0000000B" w14:textId="6004CDF3" w:rsidR="00996BF6" w:rsidRDefault="000B1525">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Peraltro,</w:t>
      </w:r>
      <w:r w:rsidR="000641DA">
        <w:rPr>
          <w:rFonts w:ascii="Times New Roman" w:eastAsia="Times New Roman" w:hAnsi="Times New Roman" w:cs="Times New Roman"/>
          <w:i/>
          <w:sz w:val="24"/>
          <w:szCs w:val="24"/>
        </w:rPr>
        <w:t xml:space="preserve"> il cosiddetto “coprifuoco” di cui al DPCM 14 gennaio 2021 è idoneo a configurare anche una notevolissima compressione della </w:t>
      </w:r>
      <w:r w:rsidR="000641DA">
        <w:rPr>
          <w:rFonts w:ascii="Times New Roman" w:eastAsia="Times New Roman" w:hAnsi="Times New Roman" w:cs="Times New Roman"/>
          <w:b/>
          <w:i/>
          <w:sz w:val="24"/>
          <w:szCs w:val="24"/>
          <w:u w:val="single"/>
        </w:rPr>
        <w:t>libertà di circolazione di cui all’art. 16 Cost.</w:t>
      </w:r>
      <w:r w:rsidR="000641DA">
        <w:rPr>
          <w:rFonts w:ascii="Times New Roman" w:eastAsia="Times New Roman" w:hAnsi="Times New Roman" w:cs="Times New Roman"/>
          <w:i/>
          <w:sz w:val="24"/>
          <w:szCs w:val="24"/>
        </w:rPr>
        <w:t>, tale per cui ogni limitazi</w:t>
      </w:r>
      <w:r w:rsidR="000641DA">
        <w:rPr>
          <w:rFonts w:ascii="Times New Roman" w:eastAsia="Times New Roman" w:hAnsi="Times New Roman" w:cs="Times New Roman"/>
          <w:i/>
          <w:sz w:val="24"/>
          <w:szCs w:val="24"/>
        </w:rPr>
        <w:t xml:space="preserve">oni risulta coperta da riserva di legge rafforzata. </w:t>
      </w:r>
      <w:r w:rsidR="000641DA">
        <w:rPr>
          <w:rFonts w:ascii="Times New Roman" w:eastAsia="Times New Roman" w:hAnsi="Times New Roman" w:cs="Times New Roman"/>
          <w:i/>
          <w:sz w:val="24"/>
          <w:szCs w:val="24"/>
          <w:highlight w:val="white"/>
        </w:rPr>
        <w:t xml:space="preserve">In aperta violazione agli stringenti criteri posti dalla Costituzionale, il DL 6/2020 si è limitato ad attribuire la competenza al Presidente del consiglio sulla materia, ampliando in modo illegittimo le </w:t>
      </w:r>
      <w:r w:rsidR="000641DA">
        <w:rPr>
          <w:rFonts w:ascii="Times New Roman" w:eastAsia="Times New Roman" w:hAnsi="Times New Roman" w:cs="Times New Roman"/>
          <w:i/>
          <w:sz w:val="24"/>
          <w:szCs w:val="24"/>
          <w:highlight w:val="white"/>
        </w:rPr>
        <w:t xml:space="preserve">facoltà dell’esecutivo, mentre </w:t>
      </w:r>
      <w:r w:rsidR="000641DA">
        <w:rPr>
          <w:rFonts w:ascii="Times New Roman" w:eastAsia="Times New Roman" w:hAnsi="Times New Roman" w:cs="Times New Roman"/>
          <w:b/>
          <w:i/>
          <w:sz w:val="24"/>
          <w:szCs w:val="24"/>
          <w:highlight w:val="white"/>
          <w:u w:val="single"/>
        </w:rPr>
        <w:t>la disciplina delle riserve relative impone che l’atto di legge o avente forza di legge dia una disciplina generale o di principio, lasciando eventualmente alla fonte secondaria (DPCM o altro regolamento) solo la disciplina d</w:t>
      </w:r>
      <w:r w:rsidR="000641DA">
        <w:rPr>
          <w:rFonts w:ascii="Times New Roman" w:eastAsia="Times New Roman" w:hAnsi="Times New Roman" w:cs="Times New Roman"/>
          <w:b/>
          <w:i/>
          <w:sz w:val="24"/>
          <w:szCs w:val="24"/>
          <w:highlight w:val="white"/>
          <w:u w:val="single"/>
        </w:rPr>
        <w:t>i dettaglio.</w:t>
      </w:r>
      <w:r w:rsidR="000641DA">
        <w:rPr>
          <w:rFonts w:ascii="Times New Roman" w:eastAsia="Times New Roman" w:hAnsi="Times New Roman" w:cs="Times New Roman"/>
          <w:i/>
          <w:sz w:val="24"/>
          <w:szCs w:val="24"/>
          <w:highlight w:val="white"/>
        </w:rPr>
        <w:t xml:space="preserve"> Circostanza che non può, in tutta evidenza, dirsi inverata </w:t>
      </w:r>
      <w:r w:rsidR="000641DA" w:rsidRPr="000B1525">
        <w:rPr>
          <w:rFonts w:ascii="Times New Roman" w:eastAsia="Times New Roman" w:hAnsi="Times New Roman" w:cs="Times New Roman"/>
          <w:b/>
          <w:i/>
          <w:sz w:val="24"/>
          <w:szCs w:val="24"/>
          <w:highlight w:val="white"/>
        </w:rPr>
        <w:t xml:space="preserve">nel caso di specie, più propriamente assimilabile ad una </w:t>
      </w:r>
      <w:r w:rsidR="000641DA" w:rsidRPr="000B1525">
        <w:rPr>
          <w:rFonts w:ascii="Times New Roman" w:eastAsia="Times New Roman" w:hAnsi="Times New Roman" w:cs="Times New Roman"/>
          <w:b/>
          <w:i/>
          <w:sz w:val="24"/>
          <w:szCs w:val="24"/>
          <w:highlight w:val="white"/>
          <w:u w:val="single"/>
        </w:rPr>
        <w:t>“delega in bianco”</w:t>
      </w:r>
      <w:r w:rsidR="000641DA">
        <w:rPr>
          <w:rFonts w:ascii="Times New Roman" w:eastAsia="Times New Roman" w:hAnsi="Times New Roman" w:cs="Times New Roman"/>
          <w:i/>
          <w:sz w:val="24"/>
          <w:szCs w:val="24"/>
          <w:highlight w:val="white"/>
        </w:rPr>
        <w:t>;</w:t>
      </w:r>
    </w:p>
    <w:p w14:paraId="225E8561" w14:textId="23D0A7C1" w:rsidR="000B1525" w:rsidRDefault="000B1525" w:rsidP="000B1525">
      <w:pPr>
        <w:pStyle w:val="Normale1"/>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it"/>
        </w:rPr>
        <w:lastRenderedPageBreak/>
        <w:t>7</w:t>
      </w:r>
      <w:r>
        <w:rPr>
          <w:rFonts w:ascii="Times New Roman" w:eastAsia="Times New Roman" w:hAnsi="Times New Roman" w:cs="Times New Roman"/>
          <w:i/>
          <w:sz w:val="24"/>
          <w:szCs w:val="24"/>
        </w:rPr>
        <w:t xml:space="preserve">) </w:t>
      </w:r>
      <w:r w:rsidRPr="000C45AA">
        <w:rPr>
          <w:rFonts w:ascii="Times New Roman" w:eastAsia="Times New Roman" w:hAnsi="Times New Roman" w:cs="Times New Roman"/>
          <w:i/>
          <w:sz w:val="24"/>
          <w:szCs w:val="24"/>
        </w:rPr>
        <w:t>Va altresì rilevato</w:t>
      </w:r>
      <w:r w:rsidRPr="000C45AA">
        <w:rPr>
          <w:rFonts w:ascii="Times New Roman" w:eastAsia="Times New Roman" w:hAnsi="Times New Roman" w:cs="Times New Roman"/>
          <w:b/>
          <w:i/>
          <w:sz w:val="24"/>
          <w:szCs w:val="24"/>
        </w:rPr>
        <w:t>, in tema di diritto alla salute</w:t>
      </w:r>
      <w:r w:rsidRPr="000C45AA">
        <w:rPr>
          <w:rFonts w:ascii="Times New Roman" w:eastAsia="Times New Roman" w:hAnsi="Times New Roman" w:cs="Times New Roman"/>
          <w:i/>
          <w:sz w:val="24"/>
          <w:szCs w:val="24"/>
        </w:rPr>
        <w:t xml:space="preserve">, che </w:t>
      </w:r>
      <w:r w:rsidRPr="00B26A6B">
        <w:rPr>
          <w:rFonts w:ascii="Times New Roman" w:eastAsia="Times New Roman" w:hAnsi="Times New Roman" w:cs="Times New Roman"/>
          <w:i/>
          <w:sz w:val="24"/>
          <w:szCs w:val="24"/>
        </w:rPr>
        <w:t>l’</w:t>
      </w:r>
      <w:r w:rsidRPr="00B26A6B">
        <w:rPr>
          <w:rFonts w:ascii="Times New Roman" w:eastAsia="Times New Roman" w:hAnsi="Times New Roman" w:cs="Times New Roman"/>
          <w:b/>
          <w:i/>
          <w:sz w:val="24"/>
          <w:szCs w:val="24"/>
        </w:rPr>
        <w:t>art. 32 della Costituzione</w:t>
      </w:r>
      <w:r w:rsidRPr="000C45AA">
        <w:rPr>
          <w:rFonts w:ascii="Times New Roman" w:eastAsia="Times New Roman" w:hAnsi="Times New Roman" w:cs="Times New Roman"/>
          <w:i/>
          <w:sz w:val="24"/>
          <w:szCs w:val="24"/>
        </w:rPr>
        <w:t xml:space="preserve"> esplicita il fatto che “la Repubblica tutela la salute come fondamentale diritto dell'individuo e interesse della collettività, e garantisce cure gratuite agli indigenti”. </w:t>
      </w:r>
      <w:r>
        <w:rPr>
          <w:rFonts w:ascii="Times New Roman" w:eastAsia="Times New Roman" w:hAnsi="Times New Roman" w:cs="Times New Roman"/>
          <w:i/>
          <w:sz w:val="24"/>
          <w:szCs w:val="24"/>
        </w:rPr>
        <w:t xml:space="preserve">Se, da un lato tale norma, durante l’emergenza pandemica, è venuta ad assurgere a vero architrave del sistema costituzionale (tanto da creare il </w:t>
      </w:r>
      <w:r w:rsidRPr="00B26A6B">
        <w:rPr>
          <w:rFonts w:ascii="Times New Roman" w:eastAsia="Times New Roman" w:hAnsi="Times New Roman" w:cs="Times New Roman"/>
          <w:b/>
          <w:i/>
          <w:sz w:val="24"/>
          <w:szCs w:val="24"/>
        </w:rPr>
        <w:t>concreto rischio che l’intera impalcatura dei diritti fondamentali collassi sul solo art. 32 Cost.</w:t>
      </w:r>
      <w:r>
        <w:rPr>
          <w:rFonts w:ascii="Times New Roman" w:eastAsia="Times New Roman" w:hAnsi="Times New Roman" w:cs="Times New Roman"/>
          <w:i/>
          <w:sz w:val="24"/>
          <w:szCs w:val="24"/>
        </w:rPr>
        <w:t>), dall’altro, è anche innegabile che tale ruolo portante non sembra potersi evincere da un’attenta lettura della recente percorsi (invero regressivo) di attuazione di questo diritto. Infatti, nel corso degli ultimi anni t</w:t>
      </w:r>
      <w:r w:rsidRPr="000C45AA">
        <w:rPr>
          <w:rFonts w:ascii="Times New Roman" w:eastAsia="Times New Roman" w:hAnsi="Times New Roman" w:cs="Times New Roman"/>
          <w:i/>
          <w:sz w:val="24"/>
          <w:szCs w:val="24"/>
        </w:rPr>
        <w:t>ale norma</w:t>
      </w:r>
      <w:r>
        <w:rPr>
          <w:rFonts w:ascii="Times New Roman" w:eastAsia="Times New Roman" w:hAnsi="Times New Roman" w:cs="Times New Roman"/>
          <w:i/>
          <w:sz w:val="24"/>
          <w:szCs w:val="24"/>
        </w:rPr>
        <w:t xml:space="preserve"> evidentemente portante</w:t>
      </w:r>
      <w:r w:rsidRPr="000C45AA">
        <w:rPr>
          <w:rFonts w:ascii="Times New Roman" w:eastAsia="Times New Roman" w:hAnsi="Times New Roman" w:cs="Times New Roman"/>
          <w:i/>
          <w:sz w:val="24"/>
          <w:szCs w:val="24"/>
        </w:rPr>
        <w:t xml:space="preserve"> risulta disattesa da politiche di segno opposto all’intento del co</w:t>
      </w:r>
      <w:r>
        <w:rPr>
          <w:rFonts w:ascii="Times New Roman" w:eastAsia="Times New Roman" w:hAnsi="Times New Roman" w:cs="Times New Roman"/>
          <w:i/>
          <w:sz w:val="24"/>
          <w:szCs w:val="24"/>
        </w:rPr>
        <w:t>stituente, come risulta pacificamente accertato</w:t>
      </w:r>
      <w:r w:rsidRPr="000C45AA">
        <w:rPr>
          <w:rFonts w:ascii="Times New Roman" w:eastAsia="Times New Roman" w:hAnsi="Times New Roman" w:cs="Times New Roman"/>
          <w:i/>
          <w:sz w:val="24"/>
          <w:szCs w:val="24"/>
        </w:rPr>
        <w:t xml:space="preserve"> dai tagli operati al Sistema Sanitario Nazionale che, in base a un report dell’Osservatorio GIMBE, ammontano a 37 miliardi di cui circa 25 miliardi nel 2010-2015 per tagli conseguenti a varie manovre finanziarie ed </w:t>
      </w:r>
      <w:r>
        <w:rPr>
          <w:rFonts w:ascii="Times New Roman" w:eastAsia="Times New Roman" w:hAnsi="Times New Roman" w:cs="Times New Roman"/>
          <w:i/>
          <w:sz w:val="24"/>
          <w:szCs w:val="24"/>
        </w:rPr>
        <w:t>oltre 12 miliardi nel 2015-2019</w:t>
      </w:r>
      <w:r w:rsidRPr="000C45A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Tali numeri testimoniano che il Legislatore ha negli ultimi anni attribuito al diritto alla salute un ruolo tutt’altro che apicale, tanto </w:t>
      </w:r>
      <w:r w:rsidRPr="00DA3C34">
        <w:rPr>
          <w:rFonts w:ascii="Times New Roman" w:eastAsia="Times New Roman" w:hAnsi="Times New Roman" w:cs="Times New Roman"/>
          <w:i/>
          <w:sz w:val="24"/>
          <w:szCs w:val="24"/>
        </w:rPr>
        <w:t>da rendere necessario un intervento da parte della Corte Costituzionale volto a precisare che</w:t>
      </w:r>
      <w:r>
        <w:rPr>
          <w:rFonts w:ascii="Times New Roman" w:eastAsia="Times New Roman" w:hAnsi="Times New Roman" w:cs="Times New Roman"/>
          <w:i/>
          <w:sz w:val="24"/>
          <w:szCs w:val="24"/>
        </w:rPr>
        <w:t xml:space="preserve"> nonostante</w:t>
      </w:r>
      <w:r w:rsidRPr="00DA3C34">
        <w:rPr>
          <w:rFonts w:ascii="Times New Roman" w:eastAsia="Times New Roman" w:hAnsi="Times New Roman" w:cs="Times New Roman"/>
          <w:i/>
          <w:sz w:val="24"/>
          <w:szCs w:val="24"/>
        </w:rPr>
        <w:t xml:space="preserve"> il carattere di </w:t>
      </w:r>
      <w:r w:rsidRPr="00B26A6B">
        <w:rPr>
          <w:rFonts w:ascii="Times New Roman" w:eastAsia="Times New Roman" w:hAnsi="Times New Roman" w:cs="Times New Roman"/>
          <w:b/>
          <w:i/>
          <w:sz w:val="24"/>
          <w:szCs w:val="24"/>
        </w:rPr>
        <w:t>diritto</w:t>
      </w:r>
      <w:r w:rsidRPr="00DA3C34">
        <w:rPr>
          <w:rFonts w:ascii="Times New Roman" w:eastAsia="Times New Roman" w:hAnsi="Times New Roman" w:cs="Times New Roman"/>
          <w:i/>
          <w:sz w:val="24"/>
          <w:szCs w:val="24"/>
        </w:rPr>
        <w:t xml:space="preserve"> </w:t>
      </w:r>
      <w:r w:rsidRPr="00B26A6B">
        <w:rPr>
          <w:rFonts w:ascii="Times New Roman" w:eastAsia="Times New Roman" w:hAnsi="Times New Roman" w:cs="Times New Roman"/>
          <w:b/>
          <w:i/>
          <w:sz w:val="24"/>
          <w:szCs w:val="24"/>
        </w:rPr>
        <w:t>“finanziariamente condizionato”</w:t>
      </w:r>
      <w:r w:rsidRPr="00DA3C3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sarebbero contrarie</w:t>
      </w:r>
      <w:r w:rsidRPr="002B3727">
        <w:rPr>
          <w:rFonts w:ascii="Times New Roman" w:eastAsia="Times New Roman" w:hAnsi="Times New Roman" w:cs="Times New Roman"/>
          <w:i/>
          <w:sz w:val="24"/>
          <w:szCs w:val="24"/>
        </w:rPr>
        <w:t xml:space="preserve"> a Costituzione disposizioni “sproporzionatamente riduttive di risorse destinate all’erogazione di prestazioni sociali di carattere primario”</w:t>
      </w:r>
      <w:r>
        <w:rPr>
          <w:rFonts w:ascii="Times New Roman" w:eastAsia="Times New Roman" w:hAnsi="Times New Roman" w:cs="Times New Roman"/>
          <w:i/>
          <w:sz w:val="24"/>
          <w:szCs w:val="24"/>
        </w:rPr>
        <w:t xml:space="preserve"> (</w:t>
      </w:r>
      <w:r>
        <w:t>Corte costituzionale n. 169 del 2017</w:t>
      </w:r>
      <w:r>
        <w:rPr>
          <w:rFonts w:ascii="Times New Roman" w:eastAsia="Times New Roman" w:hAnsi="Times New Roman" w:cs="Times New Roman"/>
          <w:i/>
          <w:sz w:val="24"/>
          <w:szCs w:val="24"/>
        </w:rPr>
        <w:t>).</w:t>
      </w:r>
      <w:r w:rsidRPr="00DA3C3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Peraltro, che il diritto alla salute possa porsi in posizione non solo centrale ma assolutamente apicale e cannibale rispetto al complesso di tutti gli altri diritti fondamentali, può e deve essere dubitato in base alla stessa giurisprudenza costituzionale, che in merito ha sostenuto</w:t>
      </w:r>
      <w:r w:rsidRPr="00DA3C34">
        <w:rPr>
          <w:rFonts w:ascii="Times New Roman" w:eastAsia="Times New Roman" w:hAnsi="Times New Roman" w:cs="Times New Roman"/>
          <w:i/>
          <w:sz w:val="24"/>
          <w:szCs w:val="24"/>
        </w:rPr>
        <w:t xml:space="preserve"> </w:t>
      </w:r>
      <w:r w:rsidRPr="00B26A6B">
        <w:rPr>
          <w:rFonts w:ascii="Times New Roman" w:eastAsia="Times New Roman" w:hAnsi="Times New Roman" w:cs="Times New Roman"/>
          <w:i/>
          <w:sz w:val="24"/>
          <w:szCs w:val="24"/>
        </w:rPr>
        <w:t xml:space="preserve">“considerato come diritto ad ottenere trattamenti sanitari, </w:t>
      </w:r>
      <w:r w:rsidRPr="002B3727">
        <w:rPr>
          <w:rFonts w:ascii="Times New Roman" w:eastAsia="Times New Roman" w:hAnsi="Times New Roman" w:cs="Times New Roman"/>
          <w:b/>
          <w:i/>
          <w:sz w:val="24"/>
          <w:szCs w:val="24"/>
        </w:rPr>
        <w:t>il diritto alla salute è basato su norme costituzionali di carattere programmatico e condizionato all’attuazione che ne dà il legislatore ordinario: attuazione, costituzionalmente obbligatoria, da realizzare gradualmente attraverso il ragionevole bilanciamento – sindacabile dalla Corte Costituzionale – con altri interessi o beni assistiti da pari tutela costituzionale</w:t>
      </w:r>
      <w:r w:rsidRPr="00B26A6B">
        <w:rPr>
          <w:rFonts w:ascii="Times New Roman" w:eastAsia="Times New Roman" w:hAnsi="Times New Roman" w:cs="Times New Roman"/>
          <w:i/>
          <w:sz w:val="24"/>
          <w:szCs w:val="24"/>
        </w:rPr>
        <w:t xml:space="preserve"> nonché con l’obiettiva disponibilità di risorse organizzative e finanziarie”</w:t>
      </w:r>
      <w:r>
        <w:rPr>
          <w:rFonts w:ascii="Times New Roman" w:eastAsia="Times New Roman" w:hAnsi="Times New Roman" w:cs="Times New Roman"/>
          <w:i/>
          <w:sz w:val="24"/>
          <w:szCs w:val="24"/>
        </w:rPr>
        <w:t xml:space="preserve"> (</w:t>
      </w:r>
      <w:r>
        <w:rPr>
          <w:rStyle w:val="Enfasigrassetto"/>
          <w:rFonts w:ascii="Open Sans" w:hAnsi="Open Sans"/>
          <w:color w:val="000000"/>
          <w:shd w:val="clear" w:color="auto" w:fill="FFFFFF"/>
        </w:rPr>
        <w:t>sentenza costituzionale n.455/1990</w:t>
      </w:r>
      <w:r w:rsidRPr="00B26A6B">
        <w:rPr>
          <w:rStyle w:val="Enfasigrassetto"/>
          <w:rFonts w:ascii="Open Sans" w:hAnsi="Open Sans"/>
          <w:b w:val="0"/>
          <w:i/>
          <w:color w:val="000000"/>
          <w:shd w:val="clear" w:color="auto" w:fill="FFFFFF"/>
        </w:rPr>
        <w:t>)</w:t>
      </w:r>
      <w:r w:rsidRPr="00B26A6B">
        <w:rPr>
          <w:rFonts w:ascii="Times New Roman" w:eastAsia="Times New Roman" w:hAnsi="Times New Roman" w:cs="Times New Roman"/>
          <w:i/>
          <w:sz w:val="24"/>
          <w:szCs w:val="24"/>
        </w:rPr>
        <w:t>.</w:t>
      </w:r>
    </w:p>
    <w:p w14:paraId="1F2FA8EA" w14:textId="7C48DB30" w:rsidR="000B1525" w:rsidRDefault="000B1525" w:rsidP="000B1525">
      <w:pPr>
        <w:pStyle w:val="Normale1"/>
        <w:shd w:val="clear" w:color="auto" w:fill="FFFFFF"/>
        <w:spacing w:before="300"/>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E’</w:t>
      </w:r>
      <w:proofErr w:type="gramEnd"/>
      <w:r>
        <w:rPr>
          <w:rFonts w:ascii="Times New Roman" w:eastAsia="Times New Roman" w:hAnsi="Times New Roman" w:cs="Times New Roman"/>
          <w:i/>
          <w:sz w:val="24"/>
          <w:szCs w:val="24"/>
        </w:rPr>
        <w:t xml:space="preserve"> altresì pacifico che l</w:t>
      </w:r>
      <w:r w:rsidRPr="000C45AA">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nozione di salute, garantita e riconosciuta dall’art. 32 Cost. come “diritto dell’individuo e interesse del singolo”, va intesa nella sua pacifica accezione di </w:t>
      </w:r>
      <w:r w:rsidRPr="007F1ACF">
        <w:rPr>
          <w:rFonts w:ascii="Times New Roman" w:eastAsia="Times New Roman" w:hAnsi="Times New Roman" w:cs="Times New Roman"/>
          <w:b/>
          <w:i/>
          <w:sz w:val="24"/>
          <w:szCs w:val="24"/>
        </w:rPr>
        <w:t>“condizione di benessere psico-fisico”</w:t>
      </w:r>
      <w:r>
        <w:rPr>
          <w:rFonts w:ascii="Times New Roman" w:eastAsia="Times New Roman" w:hAnsi="Times New Roman" w:cs="Times New Roman"/>
          <w:i/>
          <w:sz w:val="24"/>
          <w:szCs w:val="24"/>
        </w:rPr>
        <w:t xml:space="preserve">. Dunque, </w:t>
      </w:r>
      <w:r w:rsidRPr="000C45AA">
        <w:rPr>
          <w:rFonts w:ascii="Times New Roman" w:eastAsia="Times New Roman" w:hAnsi="Times New Roman" w:cs="Times New Roman"/>
          <w:i/>
          <w:sz w:val="24"/>
          <w:szCs w:val="24"/>
        </w:rPr>
        <w:t>con particolare riguardo ai provvedimenti restrittivi sulla scorta dell’emergenza pandemica in corso,</w:t>
      </w:r>
      <w:r>
        <w:rPr>
          <w:rFonts w:ascii="Times New Roman" w:eastAsia="Times New Roman" w:hAnsi="Times New Roman" w:cs="Times New Roman"/>
          <w:i/>
          <w:sz w:val="24"/>
          <w:szCs w:val="24"/>
        </w:rPr>
        <w:t xml:space="preserve"> il diritto alla salute da tutelare</w:t>
      </w:r>
      <w:r w:rsidRPr="000C45AA">
        <w:rPr>
          <w:rFonts w:ascii="Times New Roman" w:eastAsia="Times New Roman" w:hAnsi="Times New Roman" w:cs="Times New Roman"/>
          <w:i/>
          <w:sz w:val="24"/>
          <w:szCs w:val="24"/>
        </w:rPr>
        <w:t xml:space="preserve"> risulta riferibile altresì alla questione della salute mentale:</w:t>
      </w:r>
      <w:r>
        <w:rPr>
          <w:rFonts w:ascii="Times New Roman" w:eastAsia="Times New Roman" w:hAnsi="Times New Roman" w:cs="Times New Roman"/>
          <w:i/>
          <w:sz w:val="24"/>
          <w:szCs w:val="24"/>
        </w:rPr>
        <w:t xml:space="preserve"> orbene,</w:t>
      </w:r>
      <w:r w:rsidRPr="000C45AA">
        <w:rPr>
          <w:rFonts w:ascii="Times New Roman" w:eastAsia="Times New Roman" w:hAnsi="Times New Roman" w:cs="Times New Roman"/>
          <w:i/>
          <w:sz w:val="24"/>
          <w:szCs w:val="24"/>
        </w:rPr>
        <w:t xml:space="preserve"> in base a una revisione sistematica della </w:t>
      </w:r>
      <w:r w:rsidRPr="007F1ACF">
        <w:rPr>
          <w:rFonts w:ascii="Times New Roman" w:eastAsia="Times New Roman" w:hAnsi="Times New Roman" w:cs="Times New Roman"/>
          <w:b/>
          <w:i/>
          <w:sz w:val="24"/>
          <w:szCs w:val="24"/>
        </w:rPr>
        <w:t>Società Italiana di Psichiatria (Sip)</w:t>
      </w:r>
      <w:r w:rsidRPr="000C45AA">
        <w:rPr>
          <w:rFonts w:ascii="Times New Roman" w:eastAsia="Times New Roman" w:hAnsi="Times New Roman" w:cs="Times New Roman"/>
          <w:i/>
          <w:sz w:val="24"/>
          <w:szCs w:val="24"/>
        </w:rPr>
        <w:t xml:space="preserve"> degli studi pubblicati sul tema Covid e salute mentale, </w:t>
      </w:r>
      <w:r w:rsidRPr="007F1ACF">
        <w:rPr>
          <w:rFonts w:ascii="Times New Roman" w:eastAsia="Times New Roman" w:hAnsi="Times New Roman" w:cs="Times New Roman"/>
          <w:b/>
          <w:i/>
          <w:sz w:val="24"/>
          <w:szCs w:val="24"/>
        </w:rPr>
        <w:t>le condizioni di isolamento e la perdita di libertà, hanno determinato un deterioramento cognitivo e psichico con lo sviluppo di patologie quali depressione, disturbi dell’ansia e dell’umore, disturbi del sonno e disturbi di panico</w:t>
      </w:r>
      <w:r w:rsidRPr="000C45AA">
        <w:rPr>
          <w:rFonts w:ascii="Times New Roman" w:eastAsia="Times New Roman" w:hAnsi="Times New Roman" w:cs="Times New Roman"/>
          <w:i/>
          <w:sz w:val="24"/>
          <w:szCs w:val="24"/>
        </w:rPr>
        <w:t xml:space="preserve">. Inoltre, in base a uno studio condotto all'interno del </w:t>
      </w:r>
      <w:r w:rsidRPr="007F1ACF">
        <w:rPr>
          <w:rFonts w:ascii="Times New Roman" w:eastAsia="Times New Roman" w:hAnsi="Times New Roman" w:cs="Times New Roman"/>
          <w:b/>
          <w:i/>
          <w:sz w:val="24"/>
          <w:szCs w:val="24"/>
        </w:rPr>
        <w:t>Dipartimento di psicologia generale dell'università di Padova, con la collaborazione di alcuni ricercatori dell'l’IRCCS Santa Lucia di Roma, risulta evidente un peggioramento delle funzioni cognitive</w:t>
      </w:r>
      <w:r w:rsidRPr="000C45AA">
        <w:rPr>
          <w:rFonts w:ascii="Times New Roman" w:eastAsia="Times New Roman" w:hAnsi="Times New Roman" w:cs="Times New Roman"/>
          <w:i/>
          <w:sz w:val="24"/>
          <w:szCs w:val="24"/>
        </w:rPr>
        <w:t xml:space="preserve"> (perdita di concentrazione, attenzione e pianificazione dell’attività) </w:t>
      </w:r>
      <w:r w:rsidRPr="007F1ACF">
        <w:rPr>
          <w:rFonts w:ascii="Times New Roman" w:eastAsia="Times New Roman" w:hAnsi="Times New Roman" w:cs="Times New Roman"/>
          <w:b/>
          <w:i/>
          <w:sz w:val="24"/>
          <w:szCs w:val="24"/>
        </w:rPr>
        <w:t>in relazione ai sintomi psicologici di ansia e depressione.</w:t>
      </w:r>
      <w:r w:rsidRPr="000C45AA">
        <w:rPr>
          <w:rFonts w:ascii="Times New Roman" w:eastAsia="Times New Roman" w:hAnsi="Times New Roman" w:cs="Times New Roman"/>
          <w:i/>
          <w:sz w:val="24"/>
          <w:szCs w:val="24"/>
        </w:rPr>
        <w:t xml:space="preserve"> Ancora</w:t>
      </w:r>
      <w:r>
        <w:rPr>
          <w:rFonts w:ascii="Times New Roman" w:eastAsia="Times New Roman" w:hAnsi="Times New Roman" w:cs="Times New Roman"/>
          <w:i/>
          <w:sz w:val="24"/>
          <w:szCs w:val="24"/>
        </w:rPr>
        <w:t>, per ciò che concerne la stessa tutela del diritto alla salute ridotto a semplice riduzione del rischio del contagio da covid-19,</w:t>
      </w:r>
      <w:r w:rsidRPr="000C45AA">
        <w:rPr>
          <w:rFonts w:ascii="Times New Roman" w:eastAsia="Times New Roman" w:hAnsi="Times New Roman" w:cs="Times New Roman"/>
          <w:i/>
          <w:sz w:val="24"/>
          <w:szCs w:val="24"/>
        </w:rPr>
        <w:t xml:space="preserve"> secondo lo stesso </w:t>
      </w:r>
      <w:r w:rsidRPr="000C45AA">
        <w:rPr>
          <w:rFonts w:ascii="Times New Roman" w:eastAsia="Times New Roman" w:hAnsi="Times New Roman" w:cs="Times New Roman"/>
          <w:b/>
          <w:i/>
          <w:sz w:val="24"/>
          <w:szCs w:val="24"/>
        </w:rPr>
        <w:t>Istituto Superiore di Sanità</w:t>
      </w:r>
      <w:r w:rsidRPr="000C45AA">
        <w:rPr>
          <w:rFonts w:ascii="Times New Roman" w:eastAsia="Times New Roman" w:hAnsi="Times New Roman" w:cs="Times New Roman"/>
          <w:i/>
          <w:sz w:val="24"/>
          <w:szCs w:val="24"/>
        </w:rPr>
        <w:t xml:space="preserve">, ben </w:t>
      </w:r>
      <w:r w:rsidRPr="000C45AA">
        <w:rPr>
          <w:rFonts w:ascii="Times New Roman" w:eastAsia="Times New Roman" w:hAnsi="Times New Roman" w:cs="Times New Roman"/>
          <w:b/>
          <w:i/>
          <w:sz w:val="24"/>
          <w:szCs w:val="24"/>
        </w:rPr>
        <w:t>l’80% dei contagi avviene tra le mura domestiche</w:t>
      </w:r>
      <w:r w:rsidRPr="000C45AA">
        <w:rPr>
          <w:rFonts w:ascii="Times New Roman" w:eastAsia="Times New Roman" w:hAnsi="Times New Roman" w:cs="Times New Roman"/>
          <w:i/>
          <w:sz w:val="24"/>
          <w:szCs w:val="24"/>
        </w:rPr>
        <w:t>, mentre secondo i dati resi noti dall’</w:t>
      </w:r>
      <w:proofErr w:type="spellStart"/>
      <w:r w:rsidRPr="000C45AA">
        <w:rPr>
          <w:rFonts w:ascii="Times New Roman" w:eastAsia="Times New Roman" w:hAnsi="Times New Roman" w:cs="Times New Roman"/>
          <w:b/>
          <w:bCs/>
          <w:i/>
          <w:sz w:val="24"/>
          <w:szCs w:val="24"/>
        </w:rPr>
        <w:t>Health</w:t>
      </w:r>
      <w:proofErr w:type="spellEnd"/>
      <w:r w:rsidRPr="000C45AA">
        <w:rPr>
          <w:rFonts w:ascii="Times New Roman" w:eastAsia="Times New Roman" w:hAnsi="Times New Roman" w:cs="Times New Roman"/>
          <w:b/>
          <w:bCs/>
          <w:i/>
          <w:sz w:val="24"/>
          <w:szCs w:val="24"/>
        </w:rPr>
        <w:t xml:space="preserve"> </w:t>
      </w:r>
      <w:proofErr w:type="spellStart"/>
      <w:r w:rsidRPr="000C45AA">
        <w:rPr>
          <w:rFonts w:ascii="Times New Roman" w:eastAsia="Times New Roman" w:hAnsi="Times New Roman" w:cs="Times New Roman"/>
          <w:b/>
          <w:bCs/>
          <w:i/>
          <w:sz w:val="24"/>
          <w:szCs w:val="24"/>
        </w:rPr>
        <w:t>Protection</w:t>
      </w:r>
      <w:proofErr w:type="spellEnd"/>
      <w:r w:rsidRPr="000C45AA">
        <w:rPr>
          <w:rFonts w:ascii="Times New Roman" w:eastAsia="Times New Roman" w:hAnsi="Times New Roman" w:cs="Times New Roman"/>
          <w:b/>
          <w:bCs/>
          <w:i/>
          <w:sz w:val="24"/>
          <w:szCs w:val="24"/>
        </w:rPr>
        <w:t xml:space="preserve"> </w:t>
      </w:r>
      <w:proofErr w:type="spellStart"/>
      <w:r w:rsidRPr="000C45AA">
        <w:rPr>
          <w:rFonts w:ascii="Times New Roman" w:eastAsia="Times New Roman" w:hAnsi="Times New Roman" w:cs="Times New Roman"/>
          <w:b/>
          <w:bCs/>
          <w:i/>
          <w:sz w:val="24"/>
          <w:szCs w:val="24"/>
        </w:rPr>
        <w:t>Surveillance</w:t>
      </w:r>
      <w:proofErr w:type="spellEnd"/>
      <w:r w:rsidRPr="000C45AA">
        <w:rPr>
          <w:rFonts w:ascii="Times New Roman" w:eastAsia="Times New Roman" w:hAnsi="Times New Roman" w:cs="Times New Roman"/>
          <w:b/>
          <w:bCs/>
          <w:i/>
          <w:sz w:val="24"/>
          <w:szCs w:val="24"/>
        </w:rPr>
        <w:t xml:space="preserve"> Centre </w:t>
      </w:r>
      <w:r w:rsidRPr="000C45AA">
        <w:rPr>
          <w:rFonts w:ascii="Times New Roman" w:eastAsia="Times New Roman" w:hAnsi="Times New Roman" w:cs="Times New Roman"/>
          <w:i/>
          <w:sz w:val="24"/>
          <w:szCs w:val="24"/>
        </w:rPr>
        <w:t xml:space="preserve">(HPSC) che ha il compito di monitorare la diffusione del coronavirus in </w:t>
      </w:r>
      <w:r w:rsidRPr="000C45AA">
        <w:rPr>
          <w:rFonts w:ascii="Times New Roman" w:eastAsia="Times New Roman" w:hAnsi="Times New Roman" w:cs="Times New Roman"/>
          <w:i/>
          <w:sz w:val="24"/>
          <w:szCs w:val="24"/>
        </w:rPr>
        <w:lastRenderedPageBreak/>
        <w:t>Irlanda e sull’origine dei focolai rende bene l’idea: </w:t>
      </w:r>
      <w:r w:rsidRPr="000C45AA">
        <w:rPr>
          <w:rFonts w:ascii="Times New Roman" w:eastAsia="Times New Roman" w:hAnsi="Times New Roman" w:cs="Times New Roman"/>
          <w:b/>
          <w:bCs/>
          <w:i/>
          <w:sz w:val="24"/>
          <w:szCs w:val="24"/>
        </w:rPr>
        <w:t>solo un caso su mille è riconducibile alla trasmissione all’aperto</w:t>
      </w:r>
      <w:r w:rsidRPr="000C45AA">
        <w:rPr>
          <w:rFonts w:ascii="Times New Roman" w:eastAsia="Times New Roman" w:hAnsi="Times New Roman" w:cs="Times New Roman"/>
          <w:i/>
          <w:sz w:val="24"/>
          <w:szCs w:val="24"/>
        </w:rPr>
        <w:t>. In generale, è scientificamente noto e pacifico che i contagi siano facilitati e amplificati dagli spazi chiusi. Tali evidenze scientifiche, in relazione alle circostanze fattuali, rilevano ai fini della valutazione complessiva della tutela della salute di cui all’art. 32 Cost. (da cui trae fondamento l’intera normativa anti-covid e la specifica norma sul coprifuoco), dacché,</w:t>
      </w:r>
      <w:r w:rsidR="006246DA">
        <w:rPr>
          <w:rFonts w:ascii="Times New Roman" w:eastAsia="Times New Roman" w:hAnsi="Times New Roman" w:cs="Times New Roman"/>
          <w:i/>
          <w:sz w:val="24"/>
          <w:szCs w:val="24"/>
        </w:rPr>
        <w:t xml:space="preserve"> la stessa norma sembra rivelarsi, invero, inadeguata allo scopo. Infine,</w:t>
      </w:r>
      <w:r w:rsidRPr="000C45AA">
        <w:rPr>
          <w:rFonts w:ascii="Times New Roman" w:eastAsia="Times New Roman" w:hAnsi="Times New Roman" w:cs="Times New Roman"/>
          <w:i/>
          <w:sz w:val="24"/>
          <w:szCs w:val="24"/>
        </w:rPr>
        <w:t xml:space="preserve"> sulla scorta della definizione dell’OMS con il concetto di salute bisogna intendere uno </w:t>
      </w:r>
      <w:r w:rsidRPr="000B1525">
        <w:rPr>
          <w:rFonts w:ascii="Times New Roman" w:eastAsia="Times New Roman" w:hAnsi="Times New Roman" w:cs="Times New Roman"/>
          <w:b/>
          <w:i/>
          <w:sz w:val="24"/>
          <w:szCs w:val="24"/>
        </w:rPr>
        <w:t>“uno stato di totale benessere fisico, mentale e sociale”</w:t>
      </w:r>
      <w:r w:rsidRPr="000C45AA">
        <w:rPr>
          <w:rFonts w:ascii="Times New Roman" w:eastAsia="Times New Roman" w:hAnsi="Times New Roman" w:cs="Times New Roman"/>
          <w:i/>
          <w:sz w:val="24"/>
          <w:szCs w:val="24"/>
        </w:rPr>
        <w:t xml:space="preserve"> (e non semplicemente “assenza di malattie o infermità”) </w:t>
      </w:r>
      <w:r w:rsidRPr="000B1525">
        <w:rPr>
          <w:rFonts w:ascii="Times New Roman" w:eastAsia="Times New Roman" w:hAnsi="Times New Roman" w:cs="Times New Roman"/>
          <w:b/>
          <w:i/>
          <w:sz w:val="24"/>
          <w:szCs w:val="24"/>
        </w:rPr>
        <w:t>che, il perdurare della misura del cosiddetto “coprifuoco”, mette indiscutibilmente a repentaglio per una pluralità di cittadini</w:t>
      </w:r>
      <w:r w:rsidRPr="000C45AA">
        <w:rPr>
          <w:rFonts w:ascii="Times New Roman" w:eastAsia="Times New Roman" w:hAnsi="Times New Roman" w:cs="Times New Roman"/>
          <w:i/>
          <w:sz w:val="24"/>
          <w:szCs w:val="24"/>
        </w:rPr>
        <w:t xml:space="preserve"> (tra cui anche i guariti e i vaccinati</w:t>
      </w:r>
      <w:r>
        <w:rPr>
          <w:rFonts w:ascii="Times New Roman" w:eastAsia="Times New Roman" w:hAnsi="Times New Roman" w:cs="Times New Roman"/>
          <w:i/>
          <w:sz w:val="24"/>
          <w:szCs w:val="24"/>
        </w:rPr>
        <w:t>);</w:t>
      </w:r>
    </w:p>
    <w:p w14:paraId="335DC104" w14:textId="05FBA7BC" w:rsidR="000B1525" w:rsidRPr="000B1525" w:rsidRDefault="000B1525">
      <w:pPr>
        <w:shd w:val="clear" w:color="auto" w:fill="FFFFFF"/>
        <w:spacing w:before="300"/>
        <w:jc w:val="both"/>
        <w:rPr>
          <w:rFonts w:ascii="Times New Roman" w:eastAsia="Times New Roman" w:hAnsi="Times New Roman" w:cs="Times New Roman"/>
          <w:i/>
          <w:sz w:val="24"/>
          <w:szCs w:val="24"/>
          <w:lang w:val="it-IT"/>
        </w:rPr>
      </w:pPr>
    </w:p>
    <w:p w14:paraId="0000000C" w14:textId="6EE55BE1" w:rsidR="00996BF6" w:rsidRDefault="000B1525">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sidR="000641DA">
        <w:rPr>
          <w:rFonts w:ascii="Times New Roman" w:eastAsia="Times New Roman" w:hAnsi="Times New Roman" w:cs="Times New Roman"/>
          <w:i/>
          <w:sz w:val="24"/>
          <w:szCs w:val="24"/>
        </w:rPr>
        <w:t xml:space="preserve">) Inoltre si può altresì aggiungere, come se quanto detto già non fosse sufficiente, come </w:t>
      </w:r>
      <w:r w:rsidR="000641DA">
        <w:rPr>
          <w:rFonts w:ascii="Times New Roman" w:eastAsia="Times New Roman" w:hAnsi="Times New Roman" w:cs="Times New Roman"/>
          <w:b/>
          <w:i/>
          <w:sz w:val="24"/>
          <w:szCs w:val="24"/>
          <w:u w:val="single"/>
        </w:rPr>
        <w:t xml:space="preserve">l’intera legislazione emergenziale risulti anche sul piano formale completamente illecita e anzi debba essere considerata un esempio addirittura scolastico di usurpazione del potere politico da parte del Governo (art. 287 c.p.), posto che nessuna norma di </w:t>
      </w:r>
      <w:r w:rsidR="000641DA">
        <w:rPr>
          <w:rFonts w:ascii="Times New Roman" w:eastAsia="Times New Roman" w:hAnsi="Times New Roman" w:cs="Times New Roman"/>
          <w:b/>
          <w:i/>
          <w:sz w:val="24"/>
          <w:szCs w:val="24"/>
          <w:u w:val="single"/>
        </w:rPr>
        <w:t>legge, come già elegantemente rilevato con sentenza n. 516/2020 dal Giudice di Pace di Frosinone, conferisce al Governo stesso il potere di dichiarare lo stato di emergenza sanitario</w:t>
      </w:r>
      <w:r w:rsidR="000641DA">
        <w:rPr>
          <w:rFonts w:ascii="Times New Roman" w:eastAsia="Times New Roman" w:hAnsi="Times New Roman" w:cs="Times New Roman"/>
          <w:i/>
          <w:sz w:val="24"/>
          <w:szCs w:val="24"/>
        </w:rPr>
        <w:t xml:space="preserve">. A tale pronuncia è seguita anche quella del </w:t>
      </w:r>
      <w:r w:rsidR="000641DA">
        <w:rPr>
          <w:rFonts w:ascii="Times New Roman" w:eastAsia="Times New Roman" w:hAnsi="Times New Roman" w:cs="Times New Roman"/>
          <w:b/>
          <w:i/>
          <w:sz w:val="24"/>
          <w:szCs w:val="24"/>
          <w:u w:val="single"/>
        </w:rPr>
        <w:t>Tribunale Civile di Roma che</w:t>
      </w:r>
      <w:r w:rsidR="000641DA">
        <w:rPr>
          <w:rFonts w:ascii="Times New Roman" w:eastAsia="Times New Roman" w:hAnsi="Times New Roman" w:cs="Times New Roman"/>
          <w:b/>
          <w:i/>
          <w:sz w:val="24"/>
          <w:szCs w:val="24"/>
          <w:u w:val="single"/>
        </w:rPr>
        <w:t xml:space="preserve"> con ordinanza del 16.12.2020 resa nella procedura NRG 45986/2020 è giunto alle medesime oggettive determinazioni</w:t>
      </w:r>
      <w:r w:rsidR="000641DA">
        <w:rPr>
          <w:rFonts w:ascii="Times New Roman" w:eastAsia="Times New Roman" w:hAnsi="Times New Roman" w:cs="Times New Roman"/>
          <w:i/>
          <w:sz w:val="24"/>
          <w:szCs w:val="24"/>
        </w:rPr>
        <w:t>. La fattispecie non è infatti ricompresa tra quelle previste dall’art. 7 comma 1, lettera c) del D.lgs. 1/18, fermo restando che il citato D.l</w:t>
      </w:r>
      <w:r w:rsidR="000641DA">
        <w:rPr>
          <w:rFonts w:ascii="Times New Roman" w:eastAsia="Times New Roman" w:hAnsi="Times New Roman" w:cs="Times New Roman"/>
          <w:i/>
          <w:sz w:val="24"/>
          <w:szCs w:val="24"/>
        </w:rPr>
        <w:t>gs. viola in ogni caso l’art. 77 Cost., posto che il decreto legge è il solo strumento a disposizione del Governo davanti a qualsivoglia evento eccezionale, fatto salvo il caso della dichiarazione di guerra di cui all’art. 78 Cost. e fermo restando che com</w:t>
      </w:r>
      <w:r w:rsidR="000641DA">
        <w:rPr>
          <w:rFonts w:ascii="Times New Roman" w:eastAsia="Times New Roman" w:hAnsi="Times New Roman" w:cs="Times New Roman"/>
          <w:i/>
          <w:sz w:val="24"/>
          <w:szCs w:val="24"/>
        </w:rPr>
        <w:t>unque anche con queste forme la libertà personale di cui all’art. 13 sarebbe comunque risultata intoccabile;</w:t>
      </w:r>
    </w:p>
    <w:p w14:paraId="0000000D"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Tutto ciò premesso il sottoscritto</w:t>
      </w:r>
    </w:p>
    <w:p w14:paraId="0000000E" w14:textId="77777777" w:rsidR="00996BF6" w:rsidRDefault="000641DA">
      <w:pPr>
        <w:shd w:val="clear" w:color="auto" w:fill="FFFFFF"/>
        <w:spacing w:before="3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CHIEDE</w:t>
      </w:r>
    </w:p>
    <w:p w14:paraId="0000000F"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l’annullamento del verbale di accertamento n.                </w:t>
      </w:r>
      <w:proofErr w:type="gramStart"/>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emesso da (indicare autorità emittente)</w:t>
      </w:r>
    </w:p>
    <w:p w14:paraId="00000010" w14:textId="77777777" w:rsidR="00996BF6" w:rsidRDefault="000641DA">
      <w:pPr>
        <w:shd w:val="clear" w:color="auto" w:fill="FFFFFF"/>
        <w:spacing w:before="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VIA ISTRUTTORIA</w:t>
      </w:r>
    </w:p>
    <w:p w14:paraId="00000011" w14:textId="77777777" w:rsidR="00996BF6" w:rsidRDefault="000641DA">
      <w:pPr>
        <w:shd w:val="clear" w:color="auto" w:fill="FFFFFF"/>
        <w:spacing w:befor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si richiede audizione personale della ricorrente.</w:t>
      </w:r>
    </w:p>
    <w:p w14:paraId="00000012" w14:textId="77777777" w:rsidR="00996BF6" w:rsidRDefault="000641DA">
      <w:pPr>
        <w:shd w:val="clear" w:color="auto" w:fill="FFFFFF"/>
        <w:spacing w:befor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producono i seguenti documenti:</w:t>
      </w:r>
    </w:p>
    <w:p w14:paraId="60101628" w14:textId="4A0F75B3" w:rsidR="000B1525" w:rsidRPr="000B1525" w:rsidRDefault="000B1525">
      <w:pPr>
        <w:numPr>
          <w:ilvl w:val="0"/>
          <w:numId w:val="1"/>
        </w:numPr>
        <w:shd w:val="clear" w:color="auto" w:fill="FFFFFF"/>
        <w:spacing w:after="160"/>
        <w:rPr>
          <w:rFonts w:ascii="Times New Roman" w:hAnsi="Times New Roman" w:cs="Times New Roman"/>
          <w:sz w:val="24"/>
          <w:szCs w:val="24"/>
        </w:rPr>
      </w:pPr>
      <w:r w:rsidRPr="000B1525">
        <w:rPr>
          <w:rFonts w:ascii="Times New Roman" w:hAnsi="Times New Roman" w:cs="Times New Roman"/>
          <w:sz w:val="24"/>
          <w:szCs w:val="24"/>
        </w:rPr>
        <w:t>Documento d’Identità</w:t>
      </w:r>
    </w:p>
    <w:p w14:paraId="00000013" w14:textId="61DFC186" w:rsidR="00996BF6" w:rsidRDefault="000641DA">
      <w:pPr>
        <w:numPr>
          <w:ilvl w:val="0"/>
          <w:numId w:val="1"/>
        </w:numPr>
        <w:shd w:val="clear" w:color="auto" w:fill="FFFFFF"/>
        <w:spacing w:after="160"/>
      </w:pPr>
      <w:r>
        <w:rPr>
          <w:rFonts w:ascii="Times New Roman" w:eastAsia="Times New Roman" w:hAnsi="Times New Roman" w:cs="Times New Roman"/>
          <w:sz w:val="24"/>
          <w:szCs w:val="24"/>
        </w:rPr>
        <w:t>copia verbale impugnato (da allegare sempre al ricorso)</w:t>
      </w:r>
    </w:p>
    <w:p w14:paraId="00000014" w14:textId="77777777" w:rsidR="00996BF6" w:rsidRDefault="000641DA">
      <w:pPr>
        <w:shd w:val="clear" w:color="auto" w:fill="FFFFFF"/>
        <w:spacing w:befor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 osservanza.</w:t>
      </w:r>
    </w:p>
    <w:p w14:paraId="00000015" w14:textId="77777777" w:rsidR="00996BF6" w:rsidRDefault="000641DA">
      <w:pPr>
        <w:shd w:val="clear" w:color="auto" w:fill="FFFFFF"/>
        <w:spacing w:before="300"/>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Data..</w:t>
      </w:r>
      <w:proofErr w:type="gramEnd"/>
    </w:p>
    <w:p w14:paraId="00000016" w14:textId="77777777" w:rsidR="00996BF6" w:rsidRDefault="000641DA">
      <w:pPr>
        <w:shd w:val="clear" w:color="auto" w:fill="FFFFFF"/>
        <w:spacing w:before="3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Nome e firma.</w:t>
      </w:r>
    </w:p>
    <w:p w14:paraId="00000017" w14:textId="77777777" w:rsidR="00996BF6" w:rsidRDefault="00996BF6"/>
    <w:sectPr w:rsidR="00996B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A2160"/>
    <w:multiLevelType w:val="multilevel"/>
    <w:tmpl w:val="1332C6FA"/>
    <w:lvl w:ilvl="0">
      <w:start w:val="1"/>
      <w:numFmt w:val="decimal"/>
      <w:lvlText w:val="%1."/>
      <w:lvlJc w:val="left"/>
      <w:pPr>
        <w:ind w:left="720" w:hanging="360"/>
      </w:pPr>
      <w:rPr>
        <w:rFonts w:ascii="Arial" w:eastAsia="Arial" w:hAnsi="Arial" w:cs="Arial"/>
        <w:color w:val="4A474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F6"/>
    <w:rsid w:val="000641DA"/>
    <w:rsid w:val="000B1525"/>
    <w:rsid w:val="006246DA"/>
    <w:rsid w:val="00996BF6"/>
    <w:rsid w:val="00E67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A0D4"/>
  <w15:docId w15:val="{0FB20EB7-8914-4343-B392-A25749E2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customStyle="1" w:styleId="Normale1">
    <w:name w:val="Normale1"/>
    <w:rsid w:val="000B1525"/>
    <w:rPr>
      <w:lang w:val="it-IT"/>
    </w:rPr>
  </w:style>
  <w:style w:type="character" w:styleId="Enfasigrassetto">
    <w:name w:val="Strong"/>
    <w:basedOn w:val="Carpredefinitoparagrafo"/>
    <w:uiPriority w:val="22"/>
    <w:qFormat/>
    <w:rsid w:val="000B1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1352</Words>
  <Characters>7711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Nicola Salemi</dc:creator>
  <cp:lastModifiedBy>Pietro Nicola Salemi</cp:lastModifiedBy>
  <cp:revision>4</cp:revision>
  <dcterms:created xsi:type="dcterms:W3CDTF">2021-04-28T18:23:00Z</dcterms:created>
  <dcterms:modified xsi:type="dcterms:W3CDTF">2021-04-28T18:32:00Z</dcterms:modified>
</cp:coreProperties>
</file>